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54F6" w14:textId="77777777" w:rsidR="00B355B8" w:rsidRPr="00D8392D" w:rsidRDefault="00B355B8" w:rsidP="00B355B8">
      <w:pPr>
        <w:rPr>
          <w:rFonts w:ascii="Arial" w:hAnsi="Arial" w:cs="Arial"/>
        </w:rPr>
      </w:pPr>
    </w:p>
    <w:p w14:paraId="27A91D63" w14:textId="77777777" w:rsidR="00B355B8" w:rsidRPr="004B182D" w:rsidRDefault="00B355B8" w:rsidP="00B355B8">
      <w:pPr>
        <w:shd w:val="clear" w:color="auto" w:fill="FFFFFF"/>
        <w:jc w:val="left"/>
        <w:outlineLvl w:val="2"/>
        <w:rPr>
          <w:rFonts w:ascii="Arial" w:eastAsia="Times New Roman" w:hAnsi="Arial" w:cs="Arial"/>
          <w:b/>
          <w:bCs/>
          <w:color w:val="0D0D0D"/>
          <w:u w:val="single"/>
          <w:lang w:bidi="ar-SA"/>
        </w:rPr>
      </w:pPr>
      <w:r w:rsidRPr="004B182D">
        <w:rPr>
          <w:rFonts w:ascii="Arial" w:eastAsia="Times New Roman" w:hAnsi="Arial" w:cs="Arial"/>
          <w:b/>
          <w:bCs/>
          <w:color w:val="0D0D0D"/>
          <w:u w:val="single"/>
          <w:lang w:bidi="ar-SA"/>
        </w:rPr>
        <w:t xml:space="preserve">PM </w:t>
      </w:r>
      <w:proofErr w:type="spellStart"/>
      <w:r w:rsidRPr="004B182D">
        <w:rPr>
          <w:rFonts w:ascii="Arial" w:eastAsia="Times New Roman" w:hAnsi="Arial" w:cs="Arial"/>
          <w:b/>
          <w:bCs/>
          <w:color w:val="0D0D0D"/>
          <w:u w:val="single"/>
          <w:lang w:bidi="ar-SA"/>
        </w:rPr>
        <w:t>Formalisation</w:t>
      </w:r>
      <w:proofErr w:type="spellEnd"/>
      <w:r w:rsidRPr="004B182D">
        <w:rPr>
          <w:rFonts w:ascii="Arial" w:eastAsia="Times New Roman" w:hAnsi="Arial" w:cs="Arial"/>
          <w:b/>
          <w:bCs/>
          <w:color w:val="0D0D0D"/>
          <w:u w:val="single"/>
          <w:lang w:bidi="ar-SA"/>
        </w:rPr>
        <w:t xml:space="preserve"> of Micro Food Processing Enterprises (PMFME) Scheme</w:t>
      </w:r>
    </w:p>
    <w:p w14:paraId="1DD92566" w14:textId="77777777" w:rsidR="00B355B8" w:rsidRDefault="00B355B8" w:rsidP="00B355B8">
      <w:pPr>
        <w:shd w:val="clear" w:color="auto" w:fill="FFFFFF"/>
        <w:jc w:val="left"/>
        <w:outlineLvl w:val="2"/>
        <w:rPr>
          <w:rFonts w:ascii="Arial" w:eastAsia="Times New Roman" w:hAnsi="Arial" w:cs="Arial"/>
          <w:b/>
          <w:bCs/>
          <w:color w:val="0D0D0D"/>
          <w:lang w:bidi="ar-SA"/>
        </w:rPr>
      </w:pPr>
    </w:p>
    <w:p w14:paraId="2E7C8A01" w14:textId="77777777" w:rsidR="00B355B8" w:rsidRPr="008B7061" w:rsidRDefault="00B355B8" w:rsidP="00B355B8">
      <w:pPr>
        <w:pStyle w:val="ListParagraph"/>
        <w:numPr>
          <w:ilvl w:val="0"/>
          <w:numId w:val="1"/>
        </w:numPr>
        <w:shd w:val="clear" w:color="auto" w:fill="FFFFFF"/>
        <w:jc w:val="left"/>
        <w:outlineLvl w:val="2"/>
        <w:rPr>
          <w:rFonts w:ascii="Arial" w:eastAsia="Times New Roman" w:hAnsi="Arial" w:cs="Arial"/>
          <w:b/>
          <w:bCs/>
          <w:color w:val="0D0D0D"/>
          <w:lang w:bidi="ar-SA"/>
        </w:rPr>
      </w:pPr>
      <w:r w:rsidRPr="008B7061">
        <w:rPr>
          <w:rFonts w:ascii="Arial" w:hAnsi="Arial" w:cs="Arial"/>
          <w:b/>
        </w:rPr>
        <w:t>Scheme Overview</w:t>
      </w:r>
      <w:r w:rsidRPr="008B7061">
        <w:rPr>
          <w:rFonts w:ascii="Arial" w:hAnsi="Arial" w:cs="Arial"/>
          <w:sz w:val="19"/>
          <w:szCs w:val="19"/>
          <w:lang w:bidi="ar-SA"/>
        </w:rPr>
        <w:br/>
      </w:r>
      <w:r w:rsidRPr="004B182D">
        <w:rPr>
          <w:rFonts w:ascii="Arial" w:hAnsi="Arial" w:cs="Arial"/>
          <w:lang w:bidi="ar-SA"/>
        </w:rPr>
        <w:t>The</w:t>
      </w:r>
      <w:r w:rsidRPr="008B7061">
        <w:rPr>
          <w:rFonts w:ascii="Arial" w:hAnsi="Arial" w:cs="Arial"/>
          <w:lang w:bidi="ar-SA"/>
        </w:rPr>
        <w:t> </w:t>
      </w:r>
      <w:r w:rsidRPr="008B7061">
        <w:rPr>
          <w:rFonts w:ascii="Arial" w:hAnsi="Arial" w:cs="Arial"/>
          <w:b/>
          <w:bCs/>
          <w:lang w:bidi="ar-SA"/>
        </w:rPr>
        <w:t>PMFME Scheme</w:t>
      </w:r>
      <w:r w:rsidRPr="008B7061">
        <w:rPr>
          <w:rFonts w:ascii="Arial" w:hAnsi="Arial" w:cs="Arial"/>
          <w:lang w:bidi="ar-SA"/>
        </w:rPr>
        <w:t xml:space="preserve"> is a centrally sponsored scheme launched by the Ministry of Food Processing Industries to support micro food processing units through credit-linked subsidy, capacity building, branding, and </w:t>
      </w:r>
      <w:proofErr w:type="spellStart"/>
      <w:r w:rsidRPr="008B7061">
        <w:rPr>
          <w:rFonts w:ascii="Arial" w:hAnsi="Arial" w:cs="Arial"/>
          <w:lang w:bidi="ar-SA"/>
        </w:rPr>
        <w:t>formalisation</w:t>
      </w:r>
      <w:proofErr w:type="spellEnd"/>
      <w:r w:rsidRPr="008B7061">
        <w:rPr>
          <w:rFonts w:ascii="Arial" w:hAnsi="Arial" w:cs="Arial"/>
          <w:lang w:bidi="ar-SA"/>
        </w:rPr>
        <w:t xml:space="preserve"> of the </w:t>
      </w:r>
      <w:proofErr w:type="spellStart"/>
      <w:r w:rsidRPr="008B7061">
        <w:rPr>
          <w:rFonts w:ascii="Arial" w:hAnsi="Arial" w:cs="Arial"/>
          <w:lang w:bidi="ar-SA"/>
        </w:rPr>
        <w:t>unorganised</w:t>
      </w:r>
      <w:proofErr w:type="spellEnd"/>
      <w:r w:rsidRPr="008B7061">
        <w:rPr>
          <w:rFonts w:ascii="Arial" w:hAnsi="Arial" w:cs="Arial"/>
          <w:lang w:bidi="ar-SA"/>
        </w:rPr>
        <w:t xml:space="preserve"> food processing sector under the </w:t>
      </w:r>
      <w:r w:rsidRPr="008B7061">
        <w:rPr>
          <w:rFonts w:ascii="Arial" w:hAnsi="Arial" w:cs="Arial"/>
          <w:b/>
          <w:bCs/>
          <w:lang w:bidi="ar-SA"/>
        </w:rPr>
        <w:t>One District One Product (ODOP)</w:t>
      </w:r>
      <w:r w:rsidRPr="008B7061">
        <w:rPr>
          <w:rFonts w:ascii="Arial" w:hAnsi="Arial" w:cs="Arial"/>
          <w:lang w:bidi="ar-SA"/>
        </w:rPr>
        <w:t> approach.</w:t>
      </w:r>
    </w:p>
    <w:p w14:paraId="7AC71AEE" w14:textId="77777777" w:rsidR="00B355B8" w:rsidRPr="008B7061" w:rsidRDefault="00B355B8" w:rsidP="00B355B8">
      <w:pPr>
        <w:pStyle w:val="NoSpacing"/>
        <w:jc w:val="left"/>
        <w:rPr>
          <w:rFonts w:ascii="Arial" w:hAnsi="Arial" w:cs="Arial"/>
          <w:b/>
          <w:bCs/>
          <w:lang w:bidi="ar-SA"/>
        </w:rPr>
      </w:pPr>
    </w:p>
    <w:p w14:paraId="4361231B" w14:textId="77777777" w:rsidR="00B355B8" w:rsidRPr="008B7061" w:rsidRDefault="00B355B8" w:rsidP="00B355B8">
      <w:pPr>
        <w:pStyle w:val="NoSpacing"/>
        <w:rPr>
          <w:rFonts w:ascii="Arial" w:hAnsi="Arial" w:cs="Arial"/>
          <w:b/>
          <w:szCs w:val="19"/>
          <w:lang w:bidi="ar-SA"/>
        </w:rPr>
      </w:pPr>
      <w:r w:rsidRPr="004B182D">
        <w:rPr>
          <w:rFonts w:ascii="Arial" w:hAnsi="Arial" w:cs="Arial"/>
          <w:b/>
          <w:lang w:bidi="ar-SA"/>
        </w:rPr>
        <w:t xml:space="preserve">       2.</w:t>
      </w:r>
      <w:r w:rsidRPr="008B7061">
        <w:rPr>
          <w:b/>
          <w:lang w:bidi="ar-SA"/>
        </w:rPr>
        <w:t xml:space="preserve"> </w:t>
      </w:r>
      <w:r>
        <w:rPr>
          <w:b/>
          <w:lang w:bidi="ar-SA"/>
        </w:rPr>
        <w:t xml:space="preserve">   </w:t>
      </w:r>
      <w:r w:rsidRPr="008B7061">
        <w:rPr>
          <w:rFonts w:ascii="Arial" w:hAnsi="Arial" w:cs="Arial"/>
          <w:b/>
          <w:lang w:bidi="ar-SA"/>
        </w:rPr>
        <w:t>Objectives:</w:t>
      </w:r>
    </w:p>
    <w:p w14:paraId="008CAC63" w14:textId="77777777" w:rsidR="00B355B8" w:rsidRPr="008B7061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</w:t>
      </w:r>
      <w:r w:rsidRPr="008B7061">
        <w:rPr>
          <w:rFonts w:ascii="Arial" w:hAnsi="Arial" w:cs="Arial"/>
          <w:szCs w:val="19"/>
          <w:lang w:bidi="ar-SA"/>
        </w:rPr>
        <w:t>To enhance the competitiveness of existing micro food processing enterprises.</w:t>
      </w:r>
    </w:p>
    <w:p w14:paraId="2FBE02D2" w14:textId="77777777" w:rsidR="00B355B8" w:rsidRPr="008B7061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</w:t>
      </w:r>
      <w:r w:rsidRPr="008B7061">
        <w:rPr>
          <w:rFonts w:ascii="Arial" w:hAnsi="Arial" w:cs="Arial"/>
          <w:szCs w:val="19"/>
          <w:lang w:bidi="ar-SA"/>
        </w:rPr>
        <w:t xml:space="preserve">To promote </w:t>
      </w:r>
      <w:proofErr w:type="spellStart"/>
      <w:r w:rsidRPr="008B7061">
        <w:rPr>
          <w:rFonts w:ascii="Arial" w:hAnsi="Arial" w:cs="Arial"/>
          <w:szCs w:val="19"/>
          <w:lang w:bidi="ar-SA"/>
        </w:rPr>
        <w:t>formalisation</w:t>
      </w:r>
      <w:proofErr w:type="spellEnd"/>
      <w:r w:rsidRPr="008B7061">
        <w:rPr>
          <w:rFonts w:ascii="Arial" w:hAnsi="Arial" w:cs="Arial"/>
          <w:szCs w:val="19"/>
          <w:lang w:bidi="ar-SA"/>
        </w:rPr>
        <w:t xml:space="preserve"> of </w:t>
      </w:r>
      <w:proofErr w:type="spellStart"/>
      <w:r w:rsidRPr="008B7061">
        <w:rPr>
          <w:rFonts w:ascii="Arial" w:hAnsi="Arial" w:cs="Arial"/>
          <w:szCs w:val="19"/>
          <w:lang w:bidi="ar-SA"/>
        </w:rPr>
        <w:t>unorganised</w:t>
      </w:r>
      <w:proofErr w:type="spellEnd"/>
      <w:r w:rsidRPr="008B7061">
        <w:rPr>
          <w:rFonts w:ascii="Arial" w:hAnsi="Arial" w:cs="Arial"/>
          <w:szCs w:val="19"/>
          <w:lang w:bidi="ar-SA"/>
        </w:rPr>
        <w:t xml:space="preserve"> food processing units.</w:t>
      </w:r>
    </w:p>
    <w:p w14:paraId="277EF641" w14:textId="77777777" w:rsidR="00B355B8" w:rsidRPr="008B7061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</w:t>
      </w:r>
      <w:r w:rsidRPr="008B7061">
        <w:rPr>
          <w:rFonts w:ascii="Arial" w:hAnsi="Arial" w:cs="Arial"/>
          <w:szCs w:val="19"/>
          <w:lang w:bidi="ar-SA"/>
        </w:rPr>
        <w:t>To improve access to institutional credit.</w:t>
      </w:r>
    </w:p>
    <w:p w14:paraId="4CB9D0ED" w14:textId="77777777" w:rsidR="00B355B8" w:rsidRPr="008B7061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</w:t>
      </w:r>
      <w:r w:rsidRPr="008B7061">
        <w:rPr>
          <w:rFonts w:ascii="Arial" w:hAnsi="Arial" w:cs="Arial"/>
          <w:szCs w:val="19"/>
          <w:lang w:bidi="ar-SA"/>
        </w:rPr>
        <w:t>To support branding, packaging, marketing, and quality improvement.</w:t>
      </w:r>
    </w:p>
    <w:p w14:paraId="0F90E3DD" w14:textId="77777777" w:rsidR="00B355B8" w:rsidRPr="008B7061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T</w:t>
      </w:r>
      <w:r w:rsidRPr="008B7061">
        <w:rPr>
          <w:rFonts w:ascii="Arial" w:hAnsi="Arial" w:cs="Arial"/>
          <w:szCs w:val="19"/>
          <w:lang w:bidi="ar-SA"/>
        </w:rPr>
        <w:t>o provide technical knowledge, training, and handholding support.</w:t>
      </w:r>
    </w:p>
    <w:p w14:paraId="4482434B" w14:textId="77777777" w:rsidR="00B355B8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</w:t>
      </w:r>
      <w:r w:rsidRPr="008B7061">
        <w:rPr>
          <w:rFonts w:ascii="Arial" w:hAnsi="Arial" w:cs="Arial"/>
          <w:szCs w:val="19"/>
          <w:lang w:bidi="ar-SA"/>
        </w:rPr>
        <w:t xml:space="preserve">To strengthen Farmer Producer </w:t>
      </w:r>
      <w:proofErr w:type="spellStart"/>
      <w:r w:rsidRPr="008B7061">
        <w:rPr>
          <w:rFonts w:ascii="Arial" w:hAnsi="Arial" w:cs="Arial"/>
          <w:szCs w:val="19"/>
          <w:lang w:bidi="ar-SA"/>
        </w:rPr>
        <w:t>Organisations</w:t>
      </w:r>
      <w:proofErr w:type="spellEnd"/>
      <w:r w:rsidRPr="008B7061">
        <w:rPr>
          <w:rFonts w:ascii="Arial" w:hAnsi="Arial" w:cs="Arial"/>
          <w:szCs w:val="19"/>
          <w:lang w:bidi="ar-SA"/>
        </w:rPr>
        <w:t xml:space="preserve"> (FPOs), SHGs, and Cooperatives in food </w:t>
      </w:r>
      <w:r>
        <w:rPr>
          <w:rFonts w:ascii="Arial" w:hAnsi="Arial" w:cs="Arial"/>
          <w:szCs w:val="19"/>
          <w:lang w:bidi="ar-SA"/>
        </w:rPr>
        <w:t xml:space="preserve">    </w:t>
      </w:r>
    </w:p>
    <w:p w14:paraId="545C5BF4" w14:textId="77777777" w:rsidR="00B355B8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</w:t>
      </w:r>
      <w:r w:rsidRPr="008B7061">
        <w:rPr>
          <w:rFonts w:ascii="Arial" w:hAnsi="Arial" w:cs="Arial"/>
          <w:szCs w:val="19"/>
          <w:lang w:bidi="ar-SA"/>
        </w:rPr>
        <w:t>processing.</w:t>
      </w:r>
    </w:p>
    <w:p w14:paraId="764072F5" w14:textId="77777777" w:rsidR="00B355B8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8B7061">
        <w:rPr>
          <w:rFonts w:ascii="Arial" w:hAnsi="Arial" w:cs="Arial"/>
          <w:szCs w:val="19"/>
          <w:lang w:bidi="ar-SA"/>
        </w:rPr>
        <w:t> </w:t>
      </w:r>
    </w:p>
    <w:p w14:paraId="2187209C" w14:textId="77777777" w:rsidR="00B355B8" w:rsidRPr="008B7061" w:rsidRDefault="00B355B8" w:rsidP="00B355B8">
      <w:pPr>
        <w:pStyle w:val="NoSpacing"/>
        <w:rPr>
          <w:b/>
        </w:rPr>
      </w:pPr>
      <w:r w:rsidRPr="004B182D">
        <w:rPr>
          <w:rFonts w:ascii="Arial" w:hAnsi="Arial" w:cs="Arial"/>
          <w:b/>
          <w:szCs w:val="19"/>
          <w:lang w:bidi="ar-SA"/>
        </w:rPr>
        <w:t xml:space="preserve">      3.</w:t>
      </w:r>
      <w:r w:rsidRPr="008B7061">
        <w:rPr>
          <w:b/>
          <w:lang w:bidi="ar-SA"/>
        </w:rPr>
        <w:t xml:space="preserve">  </w:t>
      </w:r>
      <w:r>
        <w:rPr>
          <w:b/>
          <w:lang w:bidi="ar-SA"/>
        </w:rPr>
        <w:t xml:space="preserve"> </w:t>
      </w:r>
      <w:r w:rsidRPr="008B7061">
        <w:rPr>
          <w:b/>
          <w:lang w:bidi="ar-SA"/>
        </w:rPr>
        <w:t xml:space="preserve"> </w:t>
      </w:r>
      <w:r w:rsidRPr="004B182D">
        <w:rPr>
          <w:rFonts w:ascii="Arial" w:hAnsi="Arial" w:cs="Arial"/>
          <w:b/>
          <w:lang w:bidi="ar-SA"/>
        </w:rPr>
        <w:t>Eligible Borrowers / Beneficiaries:</w:t>
      </w:r>
    </w:p>
    <w:p w14:paraId="57FAC109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szCs w:val="19"/>
          <w:lang w:bidi="ar-SA"/>
        </w:rPr>
        <w:t xml:space="preserve">               </w:t>
      </w:r>
      <w:r w:rsidRPr="004B182D">
        <w:rPr>
          <w:rFonts w:ascii="Arial" w:hAnsi="Arial" w:cs="Arial"/>
          <w:szCs w:val="19"/>
          <w:lang w:bidi="ar-SA"/>
        </w:rPr>
        <w:t>Existing individual micro food processing entrepreneurs</w:t>
      </w:r>
    </w:p>
    <w:p w14:paraId="49CC513B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</w:t>
      </w:r>
      <w:r>
        <w:rPr>
          <w:rFonts w:ascii="Arial" w:hAnsi="Arial" w:cs="Arial"/>
          <w:szCs w:val="19"/>
          <w:lang w:bidi="ar-SA"/>
        </w:rPr>
        <w:t xml:space="preserve">     </w:t>
      </w:r>
      <w:r w:rsidRPr="004B182D">
        <w:rPr>
          <w:rFonts w:ascii="Arial" w:hAnsi="Arial" w:cs="Arial"/>
          <w:szCs w:val="19"/>
          <w:lang w:bidi="ar-SA"/>
        </w:rPr>
        <w:t xml:space="preserve"> Proprietorship firms / Partnership firms</w:t>
      </w:r>
    </w:p>
    <w:p w14:paraId="3E5531E7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 Self Help Groups (SHGs)</w:t>
      </w:r>
    </w:p>
    <w:p w14:paraId="65685337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 Farmer Producer </w:t>
      </w:r>
      <w:proofErr w:type="spellStart"/>
      <w:r w:rsidRPr="004B182D">
        <w:rPr>
          <w:rFonts w:ascii="Arial" w:hAnsi="Arial" w:cs="Arial"/>
          <w:szCs w:val="19"/>
          <w:lang w:bidi="ar-SA"/>
        </w:rPr>
        <w:t>Organisations</w:t>
      </w:r>
      <w:proofErr w:type="spellEnd"/>
      <w:r w:rsidRPr="004B182D">
        <w:rPr>
          <w:rFonts w:ascii="Arial" w:hAnsi="Arial" w:cs="Arial"/>
          <w:szCs w:val="19"/>
          <w:lang w:bidi="ar-SA"/>
        </w:rPr>
        <w:t xml:space="preserve"> (FPOs)</w:t>
      </w:r>
    </w:p>
    <w:p w14:paraId="6E4D5F30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 Producer Cooperatives</w:t>
      </w:r>
    </w:p>
    <w:p w14:paraId="29499818" w14:textId="77777777" w:rsidR="00B355B8" w:rsidRDefault="00B355B8" w:rsidP="00B355B8">
      <w:pPr>
        <w:pStyle w:val="NoSpacing"/>
        <w:rPr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 Micro food processing units willing to </w:t>
      </w:r>
      <w:proofErr w:type="spellStart"/>
      <w:r w:rsidRPr="004B182D">
        <w:rPr>
          <w:rFonts w:ascii="Arial" w:hAnsi="Arial" w:cs="Arial"/>
          <w:szCs w:val="19"/>
          <w:lang w:bidi="ar-SA"/>
        </w:rPr>
        <w:t>formalise</w:t>
      </w:r>
      <w:proofErr w:type="spellEnd"/>
      <w:r w:rsidRPr="004B182D">
        <w:rPr>
          <w:rFonts w:ascii="Arial" w:hAnsi="Arial" w:cs="Arial"/>
          <w:szCs w:val="19"/>
          <w:lang w:bidi="ar-SA"/>
        </w:rPr>
        <w:t xml:space="preserve"> their operations</w:t>
      </w:r>
      <w:r>
        <w:rPr>
          <w:szCs w:val="19"/>
          <w:lang w:bidi="ar-SA"/>
        </w:rPr>
        <w:t>.</w:t>
      </w:r>
    </w:p>
    <w:p w14:paraId="075C9AAD" w14:textId="77777777" w:rsidR="00B355B8" w:rsidRPr="008B7061" w:rsidRDefault="00B355B8" w:rsidP="00B355B8">
      <w:pPr>
        <w:pStyle w:val="NoSpacing"/>
        <w:rPr>
          <w:szCs w:val="19"/>
          <w:lang w:bidi="ar-SA"/>
        </w:rPr>
      </w:pPr>
    </w:p>
    <w:p w14:paraId="06A69D0B" w14:textId="77777777" w:rsidR="00B355B8" w:rsidRPr="004B182D" w:rsidRDefault="00B355B8" w:rsidP="00B355B8">
      <w:pPr>
        <w:pStyle w:val="NoSpacing"/>
        <w:rPr>
          <w:rFonts w:ascii="Arial" w:hAnsi="Arial" w:cs="Arial"/>
          <w:b/>
          <w:szCs w:val="19"/>
          <w:lang w:bidi="ar-SA"/>
        </w:rPr>
      </w:pPr>
      <w:r w:rsidRPr="004B182D">
        <w:rPr>
          <w:rFonts w:ascii="Arial" w:hAnsi="Arial" w:cs="Arial"/>
          <w:b/>
          <w:lang w:bidi="ar-SA"/>
        </w:rPr>
        <w:t xml:space="preserve">     4.</w:t>
      </w:r>
      <w:r w:rsidRPr="008B7061">
        <w:rPr>
          <w:b/>
          <w:lang w:bidi="ar-SA"/>
        </w:rPr>
        <w:t xml:space="preserve"> </w:t>
      </w:r>
      <w:r>
        <w:rPr>
          <w:b/>
          <w:lang w:bidi="ar-SA"/>
        </w:rPr>
        <w:t xml:space="preserve">    </w:t>
      </w:r>
      <w:r w:rsidRPr="008B7061">
        <w:rPr>
          <w:b/>
          <w:lang w:bidi="ar-SA"/>
        </w:rPr>
        <w:t xml:space="preserve"> </w:t>
      </w:r>
      <w:r w:rsidRPr="004B182D">
        <w:rPr>
          <w:rFonts w:ascii="Arial" w:hAnsi="Arial" w:cs="Arial"/>
          <w:b/>
          <w:lang w:bidi="ar-SA"/>
        </w:rPr>
        <w:t>Eligibility:</w:t>
      </w:r>
    </w:p>
    <w:p w14:paraId="40E35955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 Applicant should be above 18 years of age</w:t>
      </w:r>
    </w:p>
    <w:p w14:paraId="6CE6DD67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 Minimum educational qualification: Class VIII pass (for individual applicants)</w:t>
      </w:r>
    </w:p>
    <w:p w14:paraId="6FC8BC37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Only one beneficiary per family</w:t>
      </w:r>
    </w:p>
    <w:p w14:paraId="02E9774E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Willingness to contribute margin and avail bank finance</w:t>
      </w:r>
    </w:p>
    <w:p w14:paraId="51929F69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Unit should preferably be engaged in ODOP-related activities. </w:t>
      </w:r>
    </w:p>
    <w:p w14:paraId="00FA6235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</w:p>
    <w:p w14:paraId="20963451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b/>
          <w:lang w:bidi="ar-SA"/>
        </w:rPr>
        <w:t xml:space="preserve">    5.    Project Cost / Financial Assistance</w:t>
      </w:r>
      <w:r w:rsidRPr="004B182D">
        <w:rPr>
          <w:rFonts w:ascii="Arial" w:hAnsi="Arial" w:cs="Arial"/>
          <w:lang w:bidi="ar-SA"/>
        </w:rPr>
        <w:t>:</w:t>
      </w:r>
    </w:p>
    <w:p w14:paraId="3D61CF95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lang w:bidi="ar-SA"/>
        </w:rPr>
        <w:t xml:space="preserve">           Credit-linked capital subsidy:</w:t>
      </w:r>
      <w:r w:rsidRPr="004B182D">
        <w:rPr>
          <w:rFonts w:ascii="Arial" w:hAnsi="Arial" w:cs="Arial"/>
          <w:szCs w:val="19"/>
          <w:lang w:bidi="ar-SA"/>
        </w:rPr>
        <w:t> </w:t>
      </w:r>
      <w:r w:rsidRPr="004B182D">
        <w:rPr>
          <w:rFonts w:ascii="Arial" w:hAnsi="Arial" w:cs="Arial"/>
          <w:lang w:bidi="ar-SA"/>
        </w:rPr>
        <w:t>35% of eligible project cost</w:t>
      </w:r>
    </w:p>
    <w:p w14:paraId="6C656965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lang w:bidi="ar-SA"/>
        </w:rPr>
        <w:t xml:space="preserve">           Maximum subsidy:</w:t>
      </w:r>
      <w:r w:rsidRPr="004B182D">
        <w:rPr>
          <w:rFonts w:ascii="Arial" w:hAnsi="Arial" w:cs="Arial"/>
          <w:szCs w:val="19"/>
          <w:lang w:bidi="ar-SA"/>
        </w:rPr>
        <w:t> </w:t>
      </w:r>
      <w:r w:rsidRPr="004B182D">
        <w:rPr>
          <w:rFonts w:ascii="Arial" w:hAnsi="Arial" w:cs="Arial"/>
          <w:lang w:bidi="ar-SA"/>
        </w:rPr>
        <w:t>₹10 lakh per individual unit</w:t>
      </w:r>
    </w:p>
    <w:p w14:paraId="09893D2F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lang w:bidi="ar-SA"/>
        </w:rPr>
        <w:t xml:space="preserve">           Beneficiary contribution:</w:t>
      </w:r>
      <w:r w:rsidRPr="004B182D">
        <w:rPr>
          <w:rFonts w:ascii="Arial" w:hAnsi="Arial" w:cs="Arial"/>
          <w:szCs w:val="19"/>
          <w:lang w:bidi="ar-SA"/>
        </w:rPr>
        <w:t> Minimum </w:t>
      </w:r>
      <w:r w:rsidRPr="004B182D">
        <w:rPr>
          <w:rFonts w:ascii="Arial" w:hAnsi="Arial" w:cs="Arial"/>
          <w:lang w:bidi="ar-SA"/>
        </w:rPr>
        <w:t>10% of project cost</w:t>
      </w:r>
    </w:p>
    <w:p w14:paraId="70FCE05B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lang w:bidi="ar-SA"/>
        </w:rPr>
        <w:t xml:space="preserve">           Balance amount:</w:t>
      </w:r>
      <w:r w:rsidRPr="004B182D">
        <w:rPr>
          <w:rFonts w:ascii="Arial" w:hAnsi="Arial" w:cs="Arial"/>
          <w:szCs w:val="19"/>
          <w:lang w:bidi="ar-SA"/>
        </w:rPr>
        <w:t> Bank loan / institutional finance</w:t>
      </w:r>
    </w:p>
    <w:p w14:paraId="3037EA50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 Land cost is generally </w:t>
      </w:r>
      <w:r w:rsidRPr="004B182D">
        <w:rPr>
          <w:rFonts w:ascii="Arial" w:hAnsi="Arial" w:cs="Arial"/>
          <w:lang w:bidi="ar-SA"/>
        </w:rPr>
        <w:t>not included</w:t>
      </w:r>
      <w:r w:rsidRPr="004B182D">
        <w:rPr>
          <w:rFonts w:ascii="Arial" w:hAnsi="Arial" w:cs="Arial"/>
          <w:szCs w:val="19"/>
          <w:lang w:bidi="ar-SA"/>
        </w:rPr>
        <w:t> in project cost. </w:t>
      </w:r>
    </w:p>
    <w:p w14:paraId="6C24BE3A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</w:p>
    <w:p w14:paraId="58A295A1" w14:textId="77777777" w:rsidR="00B355B8" w:rsidRPr="004B182D" w:rsidRDefault="00B355B8" w:rsidP="00B355B8">
      <w:pPr>
        <w:pStyle w:val="NoSpacing"/>
        <w:rPr>
          <w:rFonts w:ascii="Arial" w:hAnsi="Arial" w:cs="Arial"/>
          <w:b/>
          <w:szCs w:val="19"/>
          <w:lang w:bidi="ar-SA"/>
        </w:rPr>
      </w:pPr>
      <w:r w:rsidRPr="004B182D">
        <w:rPr>
          <w:rFonts w:ascii="Arial" w:hAnsi="Arial" w:cs="Arial"/>
          <w:lang w:bidi="ar-SA"/>
        </w:rPr>
        <w:t xml:space="preserve">    </w:t>
      </w:r>
      <w:r w:rsidRPr="004B182D">
        <w:rPr>
          <w:rFonts w:ascii="Arial" w:hAnsi="Arial" w:cs="Arial"/>
          <w:b/>
          <w:lang w:bidi="ar-SA"/>
        </w:rPr>
        <w:t xml:space="preserve">6.   </w:t>
      </w:r>
      <w:r>
        <w:rPr>
          <w:rFonts w:ascii="Arial" w:hAnsi="Arial" w:cs="Arial"/>
          <w:b/>
          <w:lang w:bidi="ar-SA"/>
        </w:rPr>
        <w:t xml:space="preserve"> </w:t>
      </w:r>
      <w:r w:rsidRPr="004B182D">
        <w:rPr>
          <w:rFonts w:ascii="Arial" w:hAnsi="Arial" w:cs="Arial"/>
          <w:b/>
          <w:lang w:bidi="ar-SA"/>
        </w:rPr>
        <w:t>Repayment Period:</w:t>
      </w:r>
    </w:p>
    <w:p w14:paraId="70532451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</w:t>
      </w:r>
      <w:r>
        <w:rPr>
          <w:rFonts w:ascii="Arial" w:hAnsi="Arial" w:cs="Arial"/>
          <w:szCs w:val="19"/>
          <w:lang w:bidi="ar-SA"/>
        </w:rPr>
        <w:t xml:space="preserve"> </w:t>
      </w:r>
      <w:r w:rsidRPr="004B182D">
        <w:rPr>
          <w:rFonts w:ascii="Arial" w:hAnsi="Arial" w:cs="Arial"/>
          <w:szCs w:val="19"/>
          <w:lang w:bidi="ar-SA"/>
        </w:rPr>
        <w:t xml:space="preserve"> Repayment is generally fixed by the financing bank based on project viability.</w:t>
      </w:r>
    </w:p>
    <w:p w14:paraId="40A527AB" w14:textId="77777777" w:rsidR="00B355B8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</w:t>
      </w:r>
      <w:r>
        <w:rPr>
          <w:rFonts w:ascii="Arial" w:hAnsi="Arial" w:cs="Arial"/>
          <w:szCs w:val="19"/>
          <w:lang w:bidi="ar-SA"/>
        </w:rPr>
        <w:t xml:space="preserve"> </w:t>
      </w:r>
      <w:r w:rsidRPr="004B182D">
        <w:rPr>
          <w:rFonts w:ascii="Arial" w:hAnsi="Arial" w:cs="Arial"/>
          <w:szCs w:val="19"/>
          <w:lang w:bidi="ar-SA"/>
        </w:rPr>
        <w:t>Normally repayment may range from </w:t>
      </w:r>
      <w:r w:rsidRPr="004B182D">
        <w:rPr>
          <w:rFonts w:ascii="Arial" w:hAnsi="Arial" w:cs="Arial"/>
          <w:lang w:bidi="ar-SA"/>
        </w:rPr>
        <w:t>3 to 7 years</w:t>
      </w:r>
      <w:r w:rsidRPr="004B182D">
        <w:rPr>
          <w:rFonts w:ascii="Arial" w:hAnsi="Arial" w:cs="Arial"/>
          <w:szCs w:val="19"/>
          <w:lang w:bidi="ar-SA"/>
        </w:rPr>
        <w:t xml:space="preserve">, including moratorium depending on </w:t>
      </w:r>
      <w:r>
        <w:rPr>
          <w:rFonts w:ascii="Arial" w:hAnsi="Arial" w:cs="Arial"/>
          <w:szCs w:val="19"/>
          <w:lang w:bidi="ar-SA"/>
        </w:rPr>
        <w:t xml:space="preserve">    </w:t>
      </w:r>
    </w:p>
    <w:p w14:paraId="1AEFA8DC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>
        <w:rPr>
          <w:rFonts w:ascii="Arial" w:hAnsi="Arial" w:cs="Arial"/>
          <w:szCs w:val="19"/>
          <w:lang w:bidi="ar-SA"/>
        </w:rPr>
        <w:t xml:space="preserve">           </w:t>
      </w:r>
      <w:r w:rsidRPr="004B182D">
        <w:rPr>
          <w:rFonts w:ascii="Arial" w:hAnsi="Arial" w:cs="Arial"/>
          <w:szCs w:val="19"/>
          <w:lang w:bidi="ar-SA"/>
        </w:rPr>
        <w:t>cash flow and nature of activity.</w:t>
      </w:r>
    </w:p>
    <w:p w14:paraId="772DBC50" w14:textId="77777777" w:rsidR="00B355B8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  <w:r w:rsidRPr="004B182D">
        <w:rPr>
          <w:rFonts w:ascii="Arial" w:hAnsi="Arial" w:cs="Arial"/>
          <w:szCs w:val="19"/>
          <w:lang w:bidi="ar-SA"/>
        </w:rPr>
        <w:t xml:space="preserve">          Working capital limits may also be sanctioned as per requirement. </w:t>
      </w:r>
    </w:p>
    <w:p w14:paraId="309E3257" w14:textId="77777777" w:rsidR="00B355B8" w:rsidRPr="004B182D" w:rsidRDefault="00B355B8" w:rsidP="00B355B8">
      <w:pPr>
        <w:pStyle w:val="NoSpacing"/>
        <w:rPr>
          <w:rFonts w:ascii="Arial" w:hAnsi="Arial" w:cs="Arial"/>
          <w:szCs w:val="19"/>
          <w:lang w:bidi="ar-SA"/>
        </w:rPr>
      </w:pPr>
    </w:p>
    <w:p w14:paraId="3FFDEF06" w14:textId="77777777" w:rsidR="00B355B8" w:rsidRPr="004B182D" w:rsidRDefault="00B355B8" w:rsidP="00B355B8">
      <w:pPr>
        <w:pStyle w:val="NoSpacing"/>
        <w:rPr>
          <w:rFonts w:ascii="Arial" w:hAnsi="Arial" w:cs="Arial"/>
          <w:b/>
          <w:lang w:bidi="ar-SA"/>
        </w:rPr>
      </w:pPr>
      <w:r w:rsidRPr="004B182D">
        <w:rPr>
          <w:b/>
          <w:sz w:val="19"/>
          <w:lang w:bidi="ar-SA"/>
        </w:rPr>
        <w:t xml:space="preserve">     </w:t>
      </w:r>
      <w:r w:rsidRPr="004B182D">
        <w:rPr>
          <w:b/>
          <w:lang w:bidi="ar-SA"/>
        </w:rPr>
        <w:t xml:space="preserve">7. </w:t>
      </w:r>
      <w:r>
        <w:rPr>
          <w:b/>
          <w:lang w:bidi="ar-SA"/>
        </w:rPr>
        <w:t xml:space="preserve">    </w:t>
      </w:r>
      <w:r w:rsidRPr="004B182D">
        <w:rPr>
          <w:rFonts w:ascii="Arial" w:hAnsi="Arial" w:cs="Arial"/>
          <w:b/>
          <w:lang w:bidi="ar-SA"/>
        </w:rPr>
        <w:t>Security / Collateral:</w:t>
      </w:r>
    </w:p>
    <w:p w14:paraId="0BC79499" w14:textId="77777777" w:rsidR="00B355B8" w:rsidRPr="004B182D" w:rsidRDefault="00B355B8" w:rsidP="00B355B8">
      <w:pPr>
        <w:pStyle w:val="NoSpacing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          </w:t>
      </w:r>
      <w:r w:rsidRPr="004B182D">
        <w:rPr>
          <w:rFonts w:ascii="Arial" w:hAnsi="Arial" w:cs="Arial"/>
          <w:lang w:bidi="ar-SA"/>
        </w:rPr>
        <w:t>Security norms are as per bank guidelines.</w:t>
      </w:r>
    </w:p>
    <w:p w14:paraId="029C55C7" w14:textId="77777777" w:rsidR="00B355B8" w:rsidRPr="004B182D" w:rsidRDefault="00B355B8" w:rsidP="00B355B8">
      <w:pPr>
        <w:pStyle w:val="NoSpacing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          </w:t>
      </w:r>
      <w:r w:rsidRPr="004B182D">
        <w:rPr>
          <w:rFonts w:ascii="Arial" w:hAnsi="Arial" w:cs="Arial"/>
          <w:lang w:bidi="ar-SA"/>
        </w:rPr>
        <w:t>Loans may be covered under applicable credit guarantee schemes, subject to eligibility.</w:t>
      </w:r>
    </w:p>
    <w:p w14:paraId="698980AB" w14:textId="20FEB65B" w:rsidR="00706E7E" w:rsidRPr="00B355B8" w:rsidRDefault="00B355B8" w:rsidP="00B355B8">
      <w:pPr>
        <w:pStyle w:val="NoSpacing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 xml:space="preserve">          </w:t>
      </w:r>
      <w:r w:rsidRPr="004B182D">
        <w:rPr>
          <w:rFonts w:ascii="Arial" w:hAnsi="Arial" w:cs="Arial"/>
          <w:lang w:bidi="ar-SA"/>
        </w:rPr>
        <w:t>For small loans, collateral-free finance may be considered as per RBI / bank norms.</w:t>
      </w:r>
    </w:p>
    <w:sectPr w:rsidR="00706E7E" w:rsidRPr="00B355B8" w:rsidSect="00B3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75946"/>
    <w:multiLevelType w:val="hybridMultilevel"/>
    <w:tmpl w:val="29DE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B8"/>
    <w:rsid w:val="000D3601"/>
    <w:rsid w:val="00365677"/>
    <w:rsid w:val="006A60E1"/>
    <w:rsid w:val="00706E7E"/>
    <w:rsid w:val="00A05BA0"/>
    <w:rsid w:val="00B355B8"/>
    <w:rsid w:val="00C1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7AE5"/>
  <w15:chartTrackingRefBased/>
  <w15:docId w15:val="{84469D7B-EFF0-49B5-B8FE-3757A0AC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5B8"/>
    <w:pPr>
      <w:spacing w:after="0" w:line="240" w:lineRule="auto"/>
      <w:jc w:val="both"/>
    </w:pPr>
    <w:rPr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5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355B8"/>
    <w:pPr>
      <w:spacing w:after="0" w:line="240" w:lineRule="auto"/>
      <w:jc w:val="both"/>
    </w:pPr>
    <w:rPr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Adarsh Shrivastva</dc:creator>
  <cp:keywords/>
  <dc:description/>
  <cp:lastModifiedBy>Adarsh Shrivastva</cp:lastModifiedBy>
  <cp:revision>1</cp:revision>
  <dcterms:created xsi:type="dcterms:W3CDTF">2026-04-30T11:57:00Z</dcterms:created>
  <dcterms:modified xsi:type="dcterms:W3CDTF">2026-04-30T11:58:00Z</dcterms:modified>
</cp:coreProperties>
</file>